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Mar>
          <w:left w:w="0" w:type="dxa"/>
          <w:right w:w="0" w:type="dxa"/>
        </w:tblCellMar>
        <w:tblLook w:val="04A0"/>
      </w:tblPr>
      <w:tblGrid>
        <w:gridCol w:w="9030"/>
      </w:tblGrid>
      <w:tr w:rsidR="005D59F7" w:rsidTr="005D59F7">
        <w:tc>
          <w:tcPr>
            <w:tcW w:w="0" w:type="auto"/>
            <w:vAlign w:val="center"/>
          </w:tcPr>
          <w:tbl>
            <w:tblPr>
              <w:tblW w:w="5000" w:type="pct"/>
              <w:tblCellMar>
                <w:left w:w="0" w:type="dxa"/>
                <w:right w:w="0" w:type="dxa"/>
              </w:tblCellMar>
              <w:tblLook w:val="04A0"/>
            </w:tblPr>
            <w:tblGrid>
              <w:gridCol w:w="9030"/>
            </w:tblGrid>
            <w:tr w:rsidR="005D59F7">
              <w:tc>
                <w:tcPr>
                  <w:tcW w:w="0" w:type="auto"/>
                  <w:tcMar>
                    <w:top w:w="150" w:type="dxa"/>
                    <w:left w:w="300" w:type="dxa"/>
                    <w:bottom w:w="150" w:type="dxa"/>
                    <w:right w:w="300" w:type="dxa"/>
                  </w:tcMar>
                  <w:vAlign w:val="center"/>
                  <w:hideMark/>
                </w:tcPr>
                <w:p w:rsidR="005D59F7" w:rsidRDefault="005D59F7">
                  <w:pPr>
                    <w:pStyle w:val="NormalWeb"/>
                    <w:spacing w:line="420" w:lineRule="auto"/>
                    <w:rPr>
                      <w:rFonts w:ascii="Arial" w:hAnsi="Arial" w:cs="Arial"/>
                      <w:color w:val="222222"/>
                      <w:sz w:val="20"/>
                      <w:szCs w:val="20"/>
                    </w:rPr>
                  </w:pPr>
                  <w:proofErr w:type="spellStart"/>
                  <w:r>
                    <w:rPr>
                      <w:rFonts w:ascii="Arial" w:hAnsi="Arial" w:cs="Arial"/>
                      <w:color w:val="222222"/>
                      <w:sz w:val="18"/>
                      <w:szCs w:val="18"/>
                    </w:rPr>
                    <w:t>NorthStar</w:t>
                  </w:r>
                  <w:proofErr w:type="spellEnd"/>
                  <w:r>
                    <w:rPr>
                      <w:rFonts w:ascii="Arial" w:hAnsi="Arial" w:cs="Arial"/>
                      <w:color w:val="222222"/>
                      <w:sz w:val="18"/>
                      <w:szCs w:val="18"/>
                    </w:rPr>
                    <w:t xml:space="preserve"> RIM </w:t>
                  </w:r>
                  <w:proofErr w:type="spellStart"/>
                  <w:r>
                    <w:rPr>
                      <w:rFonts w:ascii="Arial" w:hAnsi="Arial" w:cs="Arial"/>
                      <w:color w:val="222222"/>
                      <w:sz w:val="18"/>
                      <w:szCs w:val="18"/>
                    </w:rPr>
                    <w:t>Tach</w:t>
                  </w:r>
                  <w:proofErr w:type="spellEnd"/>
                  <w:r>
                    <w:rPr>
                      <w:rFonts w:ascii="Arial" w:hAnsi="Arial" w:cs="Arial"/>
                      <w:color w:val="222222"/>
                      <w:sz w:val="18"/>
                      <w:szCs w:val="18"/>
                    </w:rPr>
                    <w:t xml:space="preserve"> 6200 product discontinuation and upgraded replacement information</w:t>
                  </w:r>
                </w:p>
              </w:tc>
            </w:tr>
          </w:tbl>
          <w:p w:rsidR="005D59F7" w:rsidRDefault="005D59F7">
            <w:pPr>
              <w:rPr>
                <w:rFonts w:ascii="Arial" w:eastAsia="Times New Roman" w:hAnsi="Arial" w:cs="Arial"/>
                <w:vanish/>
              </w:rPr>
            </w:pPr>
          </w:p>
          <w:tbl>
            <w:tblPr>
              <w:tblW w:w="5000" w:type="pct"/>
              <w:tblCellMar>
                <w:left w:w="0" w:type="dxa"/>
                <w:right w:w="0" w:type="dxa"/>
              </w:tblCellMar>
              <w:tblLook w:val="04A0"/>
            </w:tblPr>
            <w:tblGrid>
              <w:gridCol w:w="9030"/>
            </w:tblGrid>
            <w:tr w:rsidR="005D59F7">
              <w:tc>
                <w:tcPr>
                  <w:tcW w:w="0" w:type="auto"/>
                  <w:tcMar>
                    <w:top w:w="150" w:type="dxa"/>
                    <w:left w:w="300" w:type="dxa"/>
                    <w:bottom w:w="150" w:type="dxa"/>
                    <w:right w:w="300" w:type="dxa"/>
                  </w:tcMar>
                  <w:hideMark/>
                </w:tcPr>
                <w:p w:rsidR="005D59F7" w:rsidRDefault="005D59F7">
                  <w:pPr>
                    <w:rPr>
                      <w:rFonts w:ascii="Arial" w:eastAsia="Times New Roman" w:hAnsi="Arial" w:cs="Arial"/>
                      <w:color w:val="222222"/>
                      <w:sz w:val="2"/>
                      <w:szCs w:val="2"/>
                    </w:rPr>
                  </w:pPr>
                  <w:r>
                    <w:rPr>
                      <w:rFonts w:ascii="Arial" w:eastAsia="Times New Roman" w:hAnsi="Arial" w:cs="Arial"/>
                      <w:noProof/>
                      <w:color w:val="222222"/>
                      <w:sz w:val="2"/>
                      <w:szCs w:val="2"/>
                    </w:rPr>
                    <w:drawing>
                      <wp:inline distT="0" distB="0" distL="0" distR="0">
                        <wp:extent cx="5334000" cy="685800"/>
                        <wp:effectExtent l="19050" t="0" r="0" b="0"/>
                        <wp:docPr id="1" name="Picture 1" descr="Dynapar-logo-expert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par-logo-experts-v2"/>
                                <pic:cNvPicPr>
                                  <a:picLocks noChangeAspect="1" noChangeArrowheads="1"/>
                                </pic:cNvPicPr>
                              </pic:nvPicPr>
                              <pic:blipFill>
                                <a:blip r:embed="rId5" cstate="print"/>
                                <a:srcRect/>
                                <a:stretch>
                                  <a:fillRect/>
                                </a:stretch>
                              </pic:blipFill>
                              <pic:spPr bwMode="auto">
                                <a:xfrm>
                                  <a:off x="0" y="0"/>
                                  <a:ext cx="5334000" cy="685800"/>
                                </a:xfrm>
                                <a:prstGeom prst="rect">
                                  <a:avLst/>
                                </a:prstGeom>
                                <a:noFill/>
                                <a:ln w="9525">
                                  <a:noFill/>
                                  <a:miter lim="800000"/>
                                  <a:headEnd/>
                                  <a:tailEnd/>
                                </a:ln>
                              </pic:spPr>
                            </pic:pic>
                          </a:graphicData>
                        </a:graphic>
                      </wp:inline>
                    </w:drawing>
                  </w:r>
                </w:p>
              </w:tc>
            </w:tr>
            <w:tr w:rsidR="005D59F7">
              <w:tc>
                <w:tcPr>
                  <w:tcW w:w="0" w:type="auto"/>
                  <w:tcMar>
                    <w:top w:w="150" w:type="dxa"/>
                    <w:left w:w="300" w:type="dxa"/>
                    <w:bottom w:w="150" w:type="dxa"/>
                    <w:right w:w="300" w:type="dxa"/>
                  </w:tcMar>
                  <w:vAlign w:val="center"/>
                  <w:hideMark/>
                </w:tcPr>
                <w:p w:rsidR="005D59F7" w:rsidRDefault="005D59F7">
                  <w:pPr>
                    <w:pStyle w:val="NormalWeb"/>
                    <w:spacing w:line="420" w:lineRule="auto"/>
                    <w:rPr>
                      <w:rFonts w:ascii="Arial" w:hAnsi="Arial" w:cs="Arial"/>
                      <w:color w:val="222222"/>
                      <w:sz w:val="20"/>
                      <w:szCs w:val="20"/>
                    </w:rPr>
                  </w:pPr>
                  <w:r>
                    <w:rPr>
                      <w:rFonts w:ascii="Arial" w:hAnsi="Arial" w:cs="Arial"/>
                      <w:color w:val="222222"/>
                      <w:sz w:val="21"/>
                      <w:szCs w:val="21"/>
                    </w:rPr>
                    <w:t>Dear Channel Partner,</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w:t>
                  </w:r>
                </w:p>
                <w:p w:rsidR="005D59F7" w:rsidRDefault="005D59F7">
                  <w:pPr>
                    <w:pStyle w:val="NormalWeb"/>
                    <w:spacing w:line="420" w:lineRule="auto"/>
                    <w:rPr>
                      <w:rFonts w:ascii="Arial" w:hAnsi="Arial" w:cs="Arial"/>
                      <w:color w:val="222222"/>
                      <w:sz w:val="20"/>
                      <w:szCs w:val="20"/>
                    </w:rPr>
                  </w:pPr>
                  <w:proofErr w:type="spellStart"/>
                  <w:r>
                    <w:rPr>
                      <w:rFonts w:ascii="Arial" w:hAnsi="Arial" w:cs="Arial"/>
                      <w:color w:val="222222"/>
                      <w:sz w:val="20"/>
                      <w:szCs w:val="20"/>
                    </w:rPr>
                    <w:t>Dynapar</w:t>
                  </w:r>
                  <w:proofErr w:type="spellEnd"/>
                  <w:r>
                    <w:rPr>
                      <w:rFonts w:ascii="Arial" w:hAnsi="Arial" w:cs="Arial"/>
                      <w:color w:val="222222"/>
                      <w:sz w:val="20"/>
                      <w:szCs w:val="20"/>
                    </w:rPr>
                    <w:t xml:space="preserve"> is excited to announce that in the coming month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6200 Magnetic Encoder will be replaced with its successor, the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w:t>
                  </w:r>
                  <w:proofErr w:type="spellStart"/>
                  <w:r>
                    <w:rPr>
                      <w:rFonts w:ascii="Arial" w:hAnsi="Arial" w:cs="Arial"/>
                      <w:color w:val="222222"/>
                      <w:sz w:val="20"/>
                      <w:szCs w:val="20"/>
                    </w:rPr>
                    <w:t>NexGen</w:t>
                  </w:r>
                  <w:proofErr w:type="spellEnd"/>
                  <w:r>
                    <w:rPr>
                      <w:rFonts w:ascii="Arial" w:hAnsi="Arial" w:cs="Arial"/>
                      <w:color w:val="222222"/>
                      <w:sz w:val="20"/>
                      <w:szCs w:val="20"/>
                    </w:rPr>
                    <w:t xml:space="preserve"> RT6 (6200) Magnetic Encoder. The old generation product will be available until </w:t>
                  </w:r>
                  <w:r>
                    <w:rPr>
                      <w:rStyle w:val="Strong"/>
                      <w:rFonts w:ascii="Arial" w:hAnsi="Arial" w:cs="Arial"/>
                      <w:color w:val="222222"/>
                      <w:sz w:val="20"/>
                      <w:szCs w:val="20"/>
                      <w:u w:val="single"/>
                    </w:rPr>
                    <w:t>October 31, 2019</w:t>
                  </w:r>
                  <w:r>
                    <w:rPr>
                      <w:rFonts w:ascii="Arial" w:hAnsi="Arial" w:cs="Arial"/>
                      <w:color w:val="222222"/>
                      <w:sz w:val="20"/>
                      <w:szCs w:val="20"/>
                    </w:rPr>
                    <w:t>. All last time buy orders must be placed by this date.</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br/>
                    <w:t xml:space="preserve">Lead time for large quantity last time buy orders will differ from standard lead times. Quantities may also be limited to available stock on hand. Available quantities and lead time will be provided at the time of order entry.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w:t>
                  </w:r>
                  <w:proofErr w:type="spellStart"/>
                  <w:r>
                    <w:rPr>
                      <w:rFonts w:ascii="Arial" w:hAnsi="Arial" w:cs="Arial"/>
                      <w:color w:val="222222"/>
                      <w:sz w:val="20"/>
                      <w:szCs w:val="20"/>
                    </w:rPr>
                    <w:t>NexGen</w:t>
                  </w:r>
                  <w:proofErr w:type="spellEnd"/>
                  <w:r>
                    <w:rPr>
                      <w:rFonts w:ascii="Arial" w:hAnsi="Arial" w:cs="Arial"/>
                      <w:color w:val="222222"/>
                      <w:sz w:val="20"/>
                      <w:szCs w:val="20"/>
                    </w:rPr>
                    <w:t xml:space="preserve"> RT6 is a released product and has been in service, at many customer sites, since 2011.</w:t>
                  </w:r>
                </w:p>
              </w:tc>
            </w:tr>
          </w:tbl>
          <w:p w:rsidR="005D59F7" w:rsidRDefault="005D59F7">
            <w:pPr>
              <w:rPr>
                <w:rFonts w:ascii="Arial" w:eastAsia="Times New Roman" w:hAnsi="Arial" w:cs="Arial"/>
                <w:vanish/>
              </w:rPr>
            </w:pPr>
          </w:p>
          <w:tbl>
            <w:tblPr>
              <w:tblW w:w="5000" w:type="pct"/>
              <w:tblCellMar>
                <w:left w:w="0" w:type="dxa"/>
                <w:right w:w="0" w:type="dxa"/>
              </w:tblCellMar>
              <w:tblLook w:val="04A0"/>
            </w:tblPr>
            <w:tblGrid>
              <w:gridCol w:w="9030"/>
            </w:tblGrid>
            <w:tr w:rsidR="005D59F7">
              <w:tc>
                <w:tcPr>
                  <w:tcW w:w="0" w:type="auto"/>
                  <w:tcMar>
                    <w:top w:w="150" w:type="dxa"/>
                    <w:left w:w="300" w:type="dxa"/>
                    <w:bottom w:w="150" w:type="dxa"/>
                    <w:right w:w="300" w:type="dxa"/>
                  </w:tcMar>
                  <w:hideMark/>
                </w:tcPr>
                <w:p w:rsidR="005D59F7" w:rsidRDefault="005D59F7">
                  <w:pPr>
                    <w:jc w:val="center"/>
                    <w:rPr>
                      <w:rFonts w:ascii="Arial" w:eastAsia="Times New Roman" w:hAnsi="Arial" w:cs="Arial"/>
                      <w:color w:val="222222"/>
                      <w:sz w:val="2"/>
                      <w:szCs w:val="2"/>
                    </w:rPr>
                  </w:pPr>
                  <w:r>
                    <w:rPr>
                      <w:rFonts w:ascii="Arial" w:eastAsia="Times New Roman" w:hAnsi="Arial" w:cs="Arial"/>
                      <w:noProof/>
                      <w:color w:val="222222"/>
                      <w:sz w:val="2"/>
                      <w:szCs w:val="2"/>
                    </w:rPr>
                    <w:drawing>
                      <wp:inline distT="0" distB="0" distL="0" distR="0">
                        <wp:extent cx="5181600" cy="2324100"/>
                        <wp:effectExtent l="19050" t="0" r="0" b="0"/>
                        <wp:docPr id="2" name="Picture 2" descr="old-gen-to-new-gen-rim-6200-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gen-to-new-gen-rim-6200-rt6"/>
                                <pic:cNvPicPr>
                                  <a:picLocks noChangeAspect="1" noChangeArrowheads="1"/>
                                </pic:cNvPicPr>
                              </pic:nvPicPr>
                              <pic:blipFill>
                                <a:blip r:embed="rId6" cstate="print"/>
                                <a:srcRect/>
                                <a:stretch>
                                  <a:fillRect/>
                                </a:stretch>
                              </pic:blipFill>
                              <pic:spPr bwMode="auto">
                                <a:xfrm>
                                  <a:off x="0" y="0"/>
                                  <a:ext cx="5181600" cy="2324100"/>
                                </a:xfrm>
                                <a:prstGeom prst="rect">
                                  <a:avLst/>
                                </a:prstGeom>
                                <a:noFill/>
                                <a:ln w="9525">
                                  <a:noFill/>
                                  <a:miter lim="800000"/>
                                  <a:headEnd/>
                                  <a:tailEnd/>
                                </a:ln>
                              </pic:spPr>
                            </pic:pic>
                          </a:graphicData>
                        </a:graphic>
                      </wp:inline>
                    </w:drawing>
                  </w:r>
                </w:p>
              </w:tc>
            </w:tr>
            <w:tr w:rsidR="005D59F7">
              <w:tc>
                <w:tcPr>
                  <w:tcW w:w="0" w:type="auto"/>
                  <w:tcMar>
                    <w:top w:w="150" w:type="dxa"/>
                    <w:left w:w="300" w:type="dxa"/>
                    <w:bottom w:w="150" w:type="dxa"/>
                    <w:right w:w="300" w:type="dxa"/>
                  </w:tcMar>
                  <w:vAlign w:val="center"/>
                  <w:hideMark/>
                </w:tcPr>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xml:space="preserve">The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w:t>
                  </w:r>
                  <w:proofErr w:type="spellStart"/>
                  <w:r>
                    <w:rPr>
                      <w:rFonts w:ascii="Arial" w:hAnsi="Arial" w:cs="Arial"/>
                      <w:color w:val="222222"/>
                      <w:sz w:val="20"/>
                      <w:szCs w:val="20"/>
                    </w:rPr>
                    <w:t>NexGen</w:t>
                  </w:r>
                  <w:proofErr w:type="spellEnd"/>
                  <w:r>
                    <w:rPr>
                      <w:rFonts w:ascii="Arial" w:hAnsi="Arial" w:cs="Arial"/>
                      <w:color w:val="222222"/>
                      <w:sz w:val="20"/>
                      <w:szCs w:val="20"/>
                    </w:rPr>
                    <w:t xml:space="preserve"> RT6 is backward compatible, and no issues are to be expected from a form, fit, and function perspective for most customer applications.</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xml:space="preserve">There are several technical benefits that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w:t>
                  </w:r>
                  <w:proofErr w:type="spellStart"/>
                  <w:r>
                    <w:rPr>
                      <w:rFonts w:ascii="Arial" w:hAnsi="Arial" w:cs="Arial"/>
                      <w:color w:val="222222"/>
                      <w:sz w:val="20"/>
                      <w:szCs w:val="20"/>
                    </w:rPr>
                    <w:t>NexGen</w:t>
                  </w:r>
                  <w:proofErr w:type="spellEnd"/>
                  <w:r>
                    <w:rPr>
                      <w:rFonts w:ascii="Arial" w:hAnsi="Arial" w:cs="Arial"/>
                      <w:color w:val="222222"/>
                      <w:sz w:val="20"/>
                      <w:szCs w:val="20"/>
                    </w:rPr>
                    <w:t xml:space="preserve"> RT6 provide over old generation </w:t>
                  </w:r>
                  <w:r>
                    <w:rPr>
                      <w:rFonts w:ascii="Arial" w:hAnsi="Arial" w:cs="Arial"/>
                      <w:color w:val="222222"/>
                      <w:sz w:val="20"/>
                      <w:szCs w:val="20"/>
                    </w:rPr>
                    <w:lastRenderedPageBreak/>
                    <w:t>product:</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Significantly Larger Air Gap to the sensor with improved tolerances for both axial and radial misalignments</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On-Board Diagnostics with distinctive LED Output</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Higher operating temperature range -40°C to +100°C</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Extra HEAVY-DUTY Bearings for Long Life</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 xml:space="preserve">more </w:t>
                  </w:r>
                  <w:proofErr w:type="spellStart"/>
                  <w:r>
                    <w:rPr>
                      <w:rStyle w:val="Strong"/>
                      <w:rFonts w:ascii="Arial" w:eastAsia="Times New Roman" w:hAnsi="Arial" w:cs="Arial"/>
                      <w:color w:val="222222"/>
                      <w:sz w:val="20"/>
                      <w:szCs w:val="20"/>
                    </w:rPr>
                    <w:t>ppr</w:t>
                  </w:r>
                  <w:proofErr w:type="spellEnd"/>
                  <w:r>
                    <w:rPr>
                      <w:rStyle w:val="Strong"/>
                      <w:rFonts w:ascii="Arial" w:eastAsia="Times New Roman" w:hAnsi="Arial" w:cs="Arial"/>
                      <w:color w:val="222222"/>
                      <w:sz w:val="20"/>
                      <w:szCs w:val="20"/>
                    </w:rPr>
                    <w:t xml:space="preserve"> options, including 2400 </w:t>
                  </w:r>
                  <w:proofErr w:type="spellStart"/>
                  <w:r>
                    <w:rPr>
                      <w:rStyle w:val="Strong"/>
                      <w:rFonts w:ascii="Arial" w:eastAsia="Times New Roman" w:hAnsi="Arial" w:cs="Arial"/>
                      <w:color w:val="222222"/>
                      <w:sz w:val="20"/>
                      <w:szCs w:val="20"/>
                    </w:rPr>
                    <w:t>ppr</w:t>
                  </w:r>
                  <w:proofErr w:type="spellEnd"/>
                  <w:r>
                    <w:rPr>
                      <w:rStyle w:val="Strong"/>
                      <w:rFonts w:ascii="Arial" w:eastAsia="Times New Roman" w:hAnsi="Arial" w:cs="Arial"/>
                      <w:color w:val="222222"/>
                      <w:sz w:val="20"/>
                      <w:szCs w:val="20"/>
                    </w:rPr>
                    <w:t xml:space="preserve"> and higher </w:t>
                  </w:r>
                  <w:proofErr w:type="spellStart"/>
                  <w:r>
                    <w:rPr>
                      <w:rStyle w:val="Strong"/>
                      <w:rFonts w:ascii="Arial" w:eastAsia="Times New Roman" w:hAnsi="Arial" w:cs="Arial"/>
                      <w:color w:val="222222"/>
                      <w:sz w:val="20"/>
                      <w:szCs w:val="20"/>
                    </w:rPr>
                    <w:t>ppr</w:t>
                  </w:r>
                  <w:proofErr w:type="spellEnd"/>
                  <w:r>
                    <w:rPr>
                      <w:rStyle w:val="Strong"/>
                      <w:rFonts w:ascii="Arial" w:eastAsia="Times New Roman" w:hAnsi="Arial" w:cs="Arial"/>
                      <w:color w:val="222222"/>
                      <w:sz w:val="20"/>
                      <w:szCs w:val="20"/>
                    </w:rPr>
                    <w:t xml:space="preserve"> coming soon</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 xml:space="preserve">5 to 26 </w:t>
                  </w:r>
                  <w:proofErr w:type="spellStart"/>
                  <w:r>
                    <w:rPr>
                      <w:rStyle w:val="Strong"/>
                      <w:rFonts w:ascii="Arial" w:eastAsia="Times New Roman" w:hAnsi="Arial" w:cs="Arial"/>
                      <w:color w:val="222222"/>
                      <w:sz w:val="20"/>
                      <w:szCs w:val="20"/>
                    </w:rPr>
                    <w:t>vdc</w:t>
                  </w:r>
                  <w:proofErr w:type="spellEnd"/>
                  <w:r>
                    <w:rPr>
                      <w:rStyle w:val="Strong"/>
                      <w:rFonts w:ascii="Arial" w:eastAsia="Times New Roman" w:hAnsi="Arial" w:cs="Arial"/>
                      <w:color w:val="222222"/>
                      <w:sz w:val="20"/>
                      <w:szCs w:val="20"/>
                    </w:rPr>
                    <w:t xml:space="preserve"> full operational voltage range</w:t>
                  </w:r>
                </w:p>
                <w:p w:rsidR="005D59F7" w:rsidRDefault="005D59F7" w:rsidP="00BF1808">
                  <w:pPr>
                    <w:numPr>
                      <w:ilvl w:val="0"/>
                      <w:numId w:val="1"/>
                    </w:numPr>
                    <w:spacing w:before="100" w:beforeAutospacing="1" w:after="100" w:afterAutospacing="1" w:line="420" w:lineRule="auto"/>
                    <w:rPr>
                      <w:rFonts w:ascii="Arial" w:eastAsia="Times New Roman" w:hAnsi="Arial" w:cs="Arial"/>
                      <w:color w:val="222222"/>
                      <w:sz w:val="20"/>
                      <w:szCs w:val="20"/>
                    </w:rPr>
                  </w:pPr>
                  <w:r>
                    <w:rPr>
                      <w:rStyle w:val="Strong"/>
                      <w:rFonts w:ascii="Arial" w:eastAsia="Times New Roman" w:hAnsi="Arial" w:cs="Arial"/>
                      <w:color w:val="222222"/>
                      <w:sz w:val="20"/>
                      <w:szCs w:val="20"/>
                    </w:rPr>
                    <w:t>improved overall reliability</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xml:space="preserve">Technical specifications, dimensions and datasheets for the RIM </w:t>
                  </w:r>
                  <w:proofErr w:type="spellStart"/>
                  <w:r>
                    <w:rPr>
                      <w:rFonts w:ascii="Arial" w:hAnsi="Arial" w:cs="Arial"/>
                      <w:color w:val="222222"/>
                      <w:sz w:val="20"/>
                      <w:szCs w:val="20"/>
                    </w:rPr>
                    <w:t>Tach</w:t>
                  </w:r>
                  <w:proofErr w:type="spellEnd"/>
                  <w:r>
                    <w:rPr>
                      <w:rFonts w:ascii="Arial" w:hAnsi="Arial" w:cs="Arial"/>
                      <w:color w:val="222222"/>
                      <w:sz w:val="20"/>
                      <w:szCs w:val="20"/>
                    </w:rPr>
                    <w:t xml:space="preserve"> </w:t>
                  </w:r>
                  <w:proofErr w:type="spellStart"/>
                  <w:r>
                    <w:rPr>
                      <w:rFonts w:ascii="Arial" w:hAnsi="Arial" w:cs="Arial"/>
                      <w:color w:val="222222"/>
                      <w:sz w:val="20"/>
                      <w:szCs w:val="20"/>
                    </w:rPr>
                    <w:t>NexGen</w:t>
                  </w:r>
                  <w:proofErr w:type="spellEnd"/>
                  <w:r>
                    <w:rPr>
                      <w:rFonts w:ascii="Arial" w:hAnsi="Arial" w:cs="Arial"/>
                      <w:color w:val="222222"/>
                      <w:sz w:val="20"/>
                      <w:szCs w:val="20"/>
                    </w:rPr>
                    <w:t xml:space="preserve"> RT6 are available on our website at </w:t>
                  </w:r>
                  <w:hyperlink r:id="rId7" w:tgtFrame="_blank" w:history="1">
                    <w:r>
                      <w:rPr>
                        <w:rStyle w:val="Hyperlink"/>
                        <w:rFonts w:ascii="Arial" w:hAnsi="Arial" w:cs="Arial"/>
                        <w:color w:val="00A4BD"/>
                        <w:sz w:val="20"/>
                        <w:szCs w:val="20"/>
                      </w:rPr>
                      <w:t>https://ecatalog.dynapar.com/ecatalog/incremental-encoders/en/RIM_6200_NexGen</w:t>
                    </w:r>
                  </w:hyperlink>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If you have any questions, need further information or require help with configuring a part number, please contact our Application Engineering group at 1-800-234-8731.</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w:t>
                  </w:r>
                </w:p>
                <w:p w:rsidR="005D59F7" w:rsidRDefault="005D59F7">
                  <w:pPr>
                    <w:pStyle w:val="NormalWeb"/>
                    <w:spacing w:line="420" w:lineRule="auto"/>
                  </w:pPr>
                  <w:r>
                    <w:rPr>
                      <w:rFonts w:ascii="Arial" w:hAnsi="Arial" w:cs="Arial"/>
                      <w:color w:val="222222"/>
                      <w:sz w:val="20"/>
                      <w:szCs w:val="20"/>
                    </w:rPr>
                    <w:t>Sincerely,</w:t>
                  </w:r>
                </w:p>
                <w:p w:rsidR="005D59F7" w:rsidRDefault="005D59F7">
                  <w:pPr>
                    <w:pStyle w:val="NormalWeb"/>
                    <w:spacing w:line="420" w:lineRule="auto"/>
                    <w:rPr>
                      <w:rFonts w:ascii="Arial" w:hAnsi="Arial" w:cs="Arial"/>
                      <w:color w:val="222222"/>
                      <w:sz w:val="20"/>
                      <w:szCs w:val="20"/>
                    </w:rPr>
                  </w:pPr>
                  <w:r>
                    <w:rPr>
                      <w:rFonts w:ascii="Arial" w:hAnsi="Arial" w:cs="Arial"/>
                      <w:color w:val="222222"/>
                      <w:sz w:val="20"/>
                      <w:szCs w:val="20"/>
                    </w:rPr>
                    <w:t> </w:t>
                  </w:r>
                </w:p>
                <w:p w:rsidR="005D59F7" w:rsidRDefault="005D59F7" w:rsidP="005D59F7">
                  <w:pPr>
                    <w:pStyle w:val="NormalWeb"/>
                    <w:spacing w:line="420" w:lineRule="auto"/>
                    <w:rPr>
                      <w:rFonts w:ascii="Arial" w:hAnsi="Arial" w:cs="Arial"/>
                      <w:color w:val="222222"/>
                      <w:sz w:val="20"/>
                      <w:szCs w:val="20"/>
                    </w:rPr>
                  </w:pPr>
                  <w:r>
                    <w:rPr>
                      <w:rStyle w:val="Strong"/>
                      <w:rFonts w:ascii="Arial" w:hAnsi="Arial" w:cs="Arial"/>
                      <w:color w:val="222222"/>
                      <w:sz w:val="20"/>
                      <w:szCs w:val="20"/>
                    </w:rPr>
                    <w:t xml:space="preserve"> </w:t>
                  </w:r>
                  <w:r>
                    <w:rPr>
                      <w:rFonts w:ascii="Arial" w:hAnsi="Arial" w:cs="Arial"/>
                      <w:color w:val="222222"/>
                      <w:sz w:val="20"/>
                      <w:szCs w:val="20"/>
                    </w:rPr>
                    <w:t xml:space="preserve"> </w:t>
                  </w:r>
                </w:p>
              </w:tc>
            </w:tr>
          </w:tbl>
          <w:p w:rsidR="005D59F7" w:rsidRDefault="005D59F7">
            <w:pPr>
              <w:rPr>
                <w:rFonts w:eastAsia="Times New Roman"/>
                <w:sz w:val="20"/>
                <w:szCs w:val="20"/>
              </w:rPr>
            </w:pPr>
          </w:p>
        </w:tc>
      </w:tr>
    </w:tbl>
    <w:p w:rsidR="005C439F" w:rsidRDefault="005C439F"/>
    <w:sectPr w:rsidR="005C439F" w:rsidSect="005C4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23D83"/>
    <w:multiLevelType w:val="multilevel"/>
    <w:tmpl w:val="1D2C7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D59F7"/>
    <w:rsid w:val="005C439F"/>
    <w:rsid w:val="005D59F7"/>
    <w:rsid w:val="00B60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59F7"/>
    <w:rPr>
      <w:color w:val="0000FF"/>
      <w:u w:val="single"/>
    </w:rPr>
  </w:style>
  <w:style w:type="paragraph" w:styleId="NormalWeb">
    <w:name w:val="Normal (Web)"/>
    <w:basedOn w:val="Normal"/>
    <w:uiPriority w:val="99"/>
    <w:unhideWhenUsed/>
    <w:rsid w:val="005D59F7"/>
  </w:style>
  <w:style w:type="character" w:styleId="Strong">
    <w:name w:val="Strong"/>
    <w:basedOn w:val="DefaultParagraphFont"/>
    <w:uiPriority w:val="22"/>
    <w:qFormat/>
    <w:rsid w:val="005D59F7"/>
    <w:rPr>
      <w:b/>
      <w:bCs/>
    </w:rPr>
  </w:style>
  <w:style w:type="paragraph" w:styleId="BalloonText">
    <w:name w:val="Balloon Text"/>
    <w:basedOn w:val="Normal"/>
    <w:link w:val="BalloonTextChar"/>
    <w:uiPriority w:val="99"/>
    <w:semiHidden/>
    <w:unhideWhenUsed/>
    <w:rsid w:val="005D59F7"/>
    <w:rPr>
      <w:rFonts w:ascii="Tahoma" w:hAnsi="Tahoma" w:cs="Tahoma"/>
      <w:sz w:val="16"/>
      <w:szCs w:val="16"/>
    </w:rPr>
  </w:style>
  <w:style w:type="character" w:customStyle="1" w:styleId="BalloonTextChar">
    <w:name w:val="Balloon Text Char"/>
    <w:basedOn w:val="DefaultParagraphFont"/>
    <w:link w:val="BalloonText"/>
    <w:uiPriority w:val="99"/>
    <w:semiHidden/>
    <w:rsid w:val="005D5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2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dynapar.com/e2t/c/*W6M-Yzz1yHxsXW5cG4Gs6HYCzy0/*N8LQLqymg4mFN5T6VvKyNhvJ0/5/f18dQhb0SnGV2gBBz1N5D6h_rHzkrQW6bVDv15WL12QW7GfWZ25mbMf4W1BQYg08mnnJqW5LMjn_5rBdZvW4P0Gx98mQCvyW7Fvscs5CRh6JW6bVCNc2l-mYxW6WK11P7NyqjyW7MNcr22XC98VW1h4BBF70vCLSW7MNcjT5mNLNvW7bqTzM7vp5QyW5ywNLx5ZcHSRW5n0K6t1j3T4PW9dXGsz7vsrBVW5hntjM7JCxGlW81bhDK7N_KqMW11X6sN83KHrFW7J3nFC2-kz7vW9dGZLl3qWNDDW2kshZr3NnCFXW6Bw8dl8XNh8_W7JMt6t7xlvCmW2RSBvJ7sX0M3W1WhHP22F9w7bW7kdnmK4hr2ZkW6w4H3Z90f1Y5W4fN_hX4h9vxyW1V1WLp7s5PM5W2XdgYq57TZzjW2HXx3b1RdRQWN1W_f2XqC37XW7vnPdx4jLsKyW49g8SP2F6CHfN5HFpSbZZScMN1zW062zD-dgW1t5w8J5Y-qsvW9d-45z8hLRsVW5TBqqT1Ww6ynVLztPM1Ngx1fW51bdZ64lFDQtW8ksNwT1PNk96W83wR4_7tTrtyW1Sdjwd3rqS_HW6ml62F4Pv86fV5XGMs2VMhw3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0</DocSecurity>
  <Lines>17</Lines>
  <Paragraphs>5</Paragraphs>
  <ScaleCrop>false</ScaleCrop>
  <Company>Grizli777</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Maida</dc:creator>
  <cp:lastModifiedBy>Gerald Maida</cp:lastModifiedBy>
  <cp:revision>1</cp:revision>
  <dcterms:created xsi:type="dcterms:W3CDTF">2019-10-02T19:03:00Z</dcterms:created>
  <dcterms:modified xsi:type="dcterms:W3CDTF">2019-10-02T19:04:00Z</dcterms:modified>
</cp:coreProperties>
</file>